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7B" w:rsidRDefault="0070227B" w:rsidP="0070227B">
      <w:pPr>
        <w:widowControl/>
        <w:shd w:val="clear" w:color="auto" w:fill="FFFFFF"/>
        <w:spacing w:line="360" w:lineRule="auto"/>
        <w:jc w:val="center"/>
        <w:rPr>
          <w:rFonts w:hint="eastAsia"/>
          <w:b/>
          <w:sz w:val="44"/>
          <w:szCs w:val="44"/>
        </w:rPr>
      </w:pPr>
      <w:bookmarkStart w:id="0" w:name="_Toc333654932"/>
      <w:bookmarkStart w:id="1" w:name="_GoBack"/>
      <w:r w:rsidRPr="00193C37">
        <w:rPr>
          <w:rFonts w:hint="eastAsia"/>
          <w:b/>
          <w:sz w:val="44"/>
          <w:szCs w:val="44"/>
        </w:rPr>
        <w:t>高速载运设施的无损检测监控技术工信部重点实验室</w:t>
      </w:r>
    </w:p>
    <w:p w:rsidR="0070227B" w:rsidRPr="0070227B" w:rsidRDefault="0070227B" w:rsidP="0070227B">
      <w:pPr>
        <w:widowControl/>
        <w:shd w:val="clear" w:color="auto" w:fill="FFFFFF"/>
        <w:spacing w:line="360" w:lineRule="auto"/>
        <w:jc w:val="center"/>
        <w:rPr>
          <w:b/>
          <w:sz w:val="44"/>
          <w:szCs w:val="44"/>
        </w:rPr>
      </w:pPr>
      <w:r w:rsidRPr="0070227B">
        <w:rPr>
          <w:b/>
          <w:sz w:val="44"/>
          <w:szCs w:val="44"/>
        </w:rPr>
        <w:t>开放课题基金管理制度</w:t>
      </w:r>
      <w:bookmarkEnd w:id="0"/>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b/>
          <w:bCs/>
          <w:color w:val="333333"/>
          <w:kern w:val="0"/>
          <w:sz w:val="28"/>
          <w:szCs w:val="28"/>
        </w:rPr>
        <w:t>一、总则</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1、为了规范开放课题基金的申请与管理，开展</w:t>
      </w:r>
      <w:r w:rsidR="000A5D2A" w:rsidRPr="000A5D2A">
        <w:rPr>
          <w:rFonts w:ascii="宋体" w:eastAsia="宋体" w:hAnsi="宋体" w:cs="宋体" w:hint="eastAsia"/>
          <w:color w:val="333333"/>
          <w:kern w:val="0"/>
          <w:sz w:val="28"/>
          <w:szCs w:val="28"/>
        </w:rPr>
        <w:t>高速载运设施的无损检测</w:t>
      </w:r>
      <w:r w:rsidR="000A5D2A">
        <w:rPr>
          <w:rFonts w:ascii="宋体" w:eastAsia="宋体" w:hAnsi="宋体" w:cs="宋体" w:hint="eastAsia"/>
          <w:color w:val="333333"/>
          <w:kern w:val="0"/>
          <w:sz w:val="28"/>
          <w:szCs w:val="28"/>
        </w:rPr>
        <w:t>与状态</w:t>
      </w:r>
      <w:r w:rsidR="000A5D2A" w:rsidRPr="000A5D2A">
        <w:rPr>
          <w:rFonts w:ascii="宋体" w:eastAsia="宋体" w:hAnsi="宋体" w:cs="宋体" w:hint="eastAsia"/>
          <w:color w:val="333333"/>
          <w:kern w:val="0"/>
          <w:sz w:val="28"/>
          <w:szCs w:val="28"/>
        </w:rPr>
        <w:t>监控</w:t>
      </w:r>
      <w:r w:rsidR="000A5D2A">
        <w:rPr>
          <w:rFonts w:ascii="宋体" w:eastAsia="宋体" w:hAnsi="宋体" w:cs="宋体"/>
          <w:color w:val="333333"/>
          <w:kern w:val="0"/>
          <w:sz w:val="28"/>
          <w:szCs w:val="28"/>
        </w:rPr>
        <w:t>领域的</w:t>
      </w:r>
      <w:r w:rsidR="000A5D2A">
        <w:rPr>
          <w:rFonts w:ascii="宋体" w:eastAsia="宋体" w:hAnsi="宋体" w:cs="宋体" w:hint="eastAsia"/>
          <w:color w:val="333333"/>
          <w:kern w:val="0"/>
          <w:sz w:val="28"/>
          <w:szCs w:val="28"/>
        </w:rPr>
        <w:t>理论与</w:t>
      </w:r>
      <w:r w:rsidR="000A5D2A">
        <w:rPr>
          <w:rFonts w:ascii="宋体" w:eastAsia="宋体" w:hAnsi="宋体" w:cs="宋体"/>
          <w:color w:val="333333"/>
          <w:kern w:val="0"/>
          <w:sz w:val="28"/>
          <w:szCs w:val="28"/>
        </w:rPr>
        <w:t>应用</w:t>
      </w:r>
      <w:r w:rsidRPr="0070227B">
        <w:rPr>
          <w:rFonts w:ascii="宋体" w:eastAsia="宋体" w:hAnsi="宋体" w:cs="宋体"/>
          <w:color w:val="333333"/>
          <w:kern w:val="0"/>
          <w:sz w:val="28"/>
          <w:szCs w:val="28"/>
        </w:rPr>
        <w:t>研究。鼓励新思想、新方法及交叉学科的发展，提倡创新、求实、开放、交流的学术风气；促进早出成果、多出成果，制定本制度</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2、实验室开放课题基金面对国内外、校内科技工作者开放，欢迎国内外各高校、科研机构和其它单位的科技工作者申请。</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 xml:space="preserve">3、开放课题基金按照“公平竞争、择优支持”的原则，经过评审后确定。 </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b/>
          <w:bCs/>
          <w:color w:val="333333"/>
          <w:kern w:val="0"/>
          <w:sz w:val="28"/>
          <w:szCs w:val="28"/>
        </w:rPr>
        <w:t>二、开放课题基金申请及批准程序</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1、实验室每年6月、9月集中受理开放课题的申请，课题的研究年限一般不超过2年。</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2、开放课题基金的申请每年受理一次，申请截止日期以当年的通知为准。</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3、申请者与实验室联系后，按规定的格式实事求是地填写《</w:t>
      </w:r>
      <w:r w:rsidR="007A4132" w:rsidRPr="007A4132">
        <w:rPr>
          <w:rFonts w:ascii="宋体" w:eastAsia="宋体" w:hAnsi="宋体" w:cs="宋体" w:hint="eastAsia"/>
          <w:color w:val="333333"/>
          <w:kern w:val="0"/>
          <w:sz w:val="28"/>
          <w:szCs w:val="28"/>
        </w:rPr>
        <w:t>高速载运设施的无损检测监控技术工信部重点实验室</w:t>
      </w:r>
      <w:r w:rsidRPr="0070227B">
        <w:rPr>
          <w:rFonts w:ascii="宋体" w:eastAsia="宋体" w:hAnsi="宋体" w:cs="宋体"/>
          <w:color w:val="333333"/>
          <w:kern w:val="0"/>
          <w:sz w:val="28"/>
          <w:szCs w:val="28"/>
        </w:rPr>
        <w:t>开放课题基金申请书》，在一月之内寄交实验室并提交电子版。</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4、开放课题基金申请书经实验室学术委员会最后评审决定是否资助，评审意见将及时通知申请人。</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lastRenderedPageBreak/>
        <w:t>5、 对批准项目，申请者按计划任务书执行。</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b/>
          <w:bCs/>
          <w:color w:val="333333"/>
          <w:kern w:val="0"/>
          <w:sz w:val="28"/>
          <w:szCs w:val="28"/>
        </w:rPr>
        <w:t>三、开放课题基金基本要求</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1、凡经审批通过的开放课题基金只限于在本实验室内进行的开放课题的研究工作，并执行实验室统一的科研管理条例，包括按时提交研究计划、工作进展报告、研究工作总结以及论著、成果书面材料等。</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2、基金资助课题所取得的有关论文、专著、成果等，均应标注“</w:t>
      </w:r>
      <w:r w:rsidR="007A4132" w:rsidRPr="007A4132">
        <w:rPr>
          <w:rFonts w:ascii="宋体" w:eastAsia="宋体" w:hAnsi="宋体" w:cs="宋体" w:hint="eastAsia"/>
          <w:color w:val="333333"/>
          <w:kern w:val="0"/>
          <w:sz w:val="28"/>
          <w:szCs w:val="28"/>
        </w:rPr>
        <w:t>高速载运设施的无损检测监控技术工信部重点实验室</w:t>
      </w:r>
      <w:r w:rsidRPr="0070227B">
        <w:rPr>
          <w:rFonts w:ascii="宋体" w:eastAsia="宋体" w:hAnsi="宋体" w:cs="宋体"/>
          <w:color w:val="333333"/>
          <w:kern w:val="0"/>
          <w:sz w:val="28"/>
          <w:szCs w:val="28"/>
        </w:rPr>
        <w:t>”</w:t>
      </w:r>
      <w:r w:rsidR="007A4132">
        <w:rPr>
          <w:rFonts w:ascii="宋体" w:eastAsia="宋体" w:hAnsi="宋体" w:cs="宋体" w:hint="eastAsia"/>
          <w:color w:val="333333"/>
          <w:kern w:val="0"/>
          <w:sz w:val="28"/>
          <w:szCs w:val="28"/>
        </w:rPr>
        <w:t>。</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b/>
          <w:bCs/>
          <w:color w:val="333333"/>
          <w:kern w:val="0"/>
          <w:sz w:val="28"/>
          <w:szCs w:val="28"/>
        </w:rPr>
        <w:t>四、开放课题基金的支付方式和开支的范围：</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1、根据</w:t>
      </w:r>
      <w:r w:rsidR="00E17219">
        <w:rPr>
          <w:rFonts w:ascii="宋体" w:eastAsia="宋体" w:hAnsi="宋体" w:cs="宋体" w:hint="eastAsia"/>
          <w:color w:val="333333"/>
          <w:kern w:val="0"/>
          <w:sz w:val="28"/>
          <w:szCs w:val="28"/>
        </w:rPr>
        <w:t>南京航空航天</w:t>
      </w:r>
      <w:r w:rsidRPr="0070227B">
        <w:rPr>
          <w:rFonts w:ascii="宋体" w:eastAsia="宋体" w:hAnsi="宋体" w:cs="宋体"/>
          <w:color w:val="333333"/>
          <w:kern w:val="0"/>
          <w:sz w:val="28"/>
          <w:szCs w:val="28"/>
        </w:rPr>
        <w:t>大学关于开放课题基金管理规定，开放课题基金经费由</w:t>
      </w:r>
      <w:r w:rsidR="00E17219">
        <w:rPr>
          <w:rFonts w:ascii="宋体" w:eastAsia="宋体" w:hAnsi="宋体" w:cs="宋体" w:hint="eastAsia"/>
          <w:color w:val="333333"/>
          <w:kern w:val="0"/>
          <w:sz w:val="28"/>
          <w:szCs w:val="28"/>
        </w:rPr>
        <w:t>南京航空航天</w:t>
      </w:r>
      <w:r w:rsidR="00E17219" w:rsidRPr="0070227B">
        <w:rPr>
          <w:rFonts w:ascii="宋体" w:eastAsia="宋体" w:hAnsi="宋体" w:cs="宋体"/>
          <w:color w:val="333333"/>
          <w:kern w:val="0"/>
          <w:sz w:val="28"/>
          <w:szCs w:val="28"/>
        </w:rPr>
        <w:t>大学</w:t>
      </w:r>
      <w:r w:rsidRPr="0070227B">
        <w:rPr>
          <w:rFonts w:ascii="宋体" w:eastAsia="宋体" w:hAnsi="宋体" w:cs="宋体"/>
          <w:color w:val="333333"/>
          <w:kern w:val="0"/>
          <w:sz w:val="28"/>
          <w:szCs w:val="28"/>
        </w:rPr>
        <w:t>统一管理。</w:t>
      </w:r>
    </w:p>
    <w:p w:rsidR="00E17219" w:rsidRDefault="0070227B" w:rsidP="0070227B">
      <w:pPr>
        <w:widowControl/>
        <w:shd w:val="clear" w:color="auto" w:fill="FFFFFF"/>
        <w:spacing w:line="360" w:lineRule="auto"/>
        <w:jc w:val="left"/>
        <w:rPr>
          <w:rFonts w:ascii="宋体" w:eastAsia="宋体" w:hAnsi="宋体" w:cs="宋体" w:hint="eastAsia"/>
          <w:color w:val="333333"/>
          <w:kern w:val="0"/>
          <w:sz w:val="28"/>
          <w:szCs w:val="28"/>
        </w:rPr>
      </w:pPr>
      <w:r w:rsidRPr="0070227B">
        <w:rPr>
          <w:rFonts w:ascii="宋体" w:eastAsia="宋体" w:hAnsi="宋体" w:cs="宋体"/>
          <w:color w:val="333333"/>
          <w:kern w:val="0"/>
          <w:sz w:val="28"/>
          <w:szCs w:val="28"/>
        </w:rPr>
        <w:t>2、受资助者根据真实、有效、合理、合法的凭据按实际支出数，在开放课题资助经费预算范围内办理报销手续。</w:t>
      </w:r>
    </w:p>
    <w:p w:rsidR="0070227B" w:rsidRPr="0070227B" w:rsidRDefault="0070227B" w:rsidP="0070227B">
      <w:pPr>
        <w:widowControl/>
        <w:shd w:val="clear" w:color="auto" w:fill="FFFFFF"/>
        <w:spacing w:line="360" w:lineRule="auto"/>
        <w:jc w:val="left"/>
        <w:rPr>
          <w:rFonts w:ascii="宋体" w:eastAsia="宋体" w:hAnsi="宋体" w:cs="宋体"/>
          <w:color w:val="333333"/>
          <w:kern w:val="0"/>
          <w:sz w:val="28"/>
          <w:szCs w:val="28"/>
        </w:rPr>
      </w:pPr>
      <w:r w:rsidRPr="0070227B">
        <w:rPr>
          <w:rFonts w:ascii="宋体" w:eastAsia="宋体" w:hAnsi="宋体" w:cs="宋体"/>
          <w:color w:val="333333"/>
          <w:kern w:val="0"/>
          <w:sz w:val="28"/>
          <w:szCs w:val="28"/>
        </w:rPr>
        <w:t>3、开支的范围：与资助课题直接有关的科研费用，包括专用仪器购置费、分析测试费、材料费、加工费等。学术活动经费，包括学术交流、学术会议、论文出版费、科研调研费等。客座研究人员的差旅费、住宿费等。</w:t>
      </w:r>
    </w:p>
    <w:bookmarkEnd w:id="1"/>
    <w:p w:rsidR="00CB59D8" w:rsidRPr="0070227B" w:rsidRDefault="00CB59D8" w:rsidP="0070227B">
      <w:pPr>
        <w:spacing w:line="360" w:lineRule="auto"/>
        <w:rPr>
          <w:sz w:val="28"/>
          <w:szCs w:val="28"/>
        </w:rPr>
      </w:pPr>
    </w:p>
    <w:sectPr w:rsidR="00CB59D8" w:rsidRPr="00702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7B"/>
    <w:rsid w:val="000A5D2A"/>
    <w:rsid w:val="0070227B"/>
    <w:rsid w:val="007A4132"/>
    <w:rsid w:val="00953F56"/>
    <w:rsid w:val="00CB59D8"/>
    <w:rsid w:val="00E17219"/>
    <w:rsid w:val="00EC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22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2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15854">
      <w:bodyDiv w:val="1"/>
      <w:marLeft w:val="0"/>
      <w:marRight w:val="0"/>
      <w:marTop w:val="0"/>
      <w:marBottom w:val="0"/>
      <w:divBdr>
        <w:top w:val="none" w:sz="0" w:space="0" w:color="auto"/>
        <w:left w:val="none" w:sz="0" w:space="0" w:color="auto"/>
        <w:bottom w:val="none" w:sz="0" w:space="0" w:color="auto"/>
        <w:right w:val="none" w:sz="0" w:space="0" w:color="auto"/>
      </w:divBdr>
      <w:divsChild>
        <w:div w:id="808933273">
          <w:marLeft w:val="0"/>
          <w:marRight w:val="0"/>
          <w:marTop w:val="0"/>
          <w:marBottom w:val="0"/>
          <w:divBdr>
            <w:top w:val="none" w:sz="0" w:space="0" w:color="auto"/>
            <w:left w:val="none" w:sz="0" w:space="0" w:color="auto"/>
            <w:bottom w:val="none" w:sz="0" w:space="0" w:color="auto"/>
            <w:right w:val="none" w:sz="0" w:space="0" w:color="auto"/>
          </w:divBdr>
          <w:divsChild>
            <w:div w:id="655957619">
              <w:marLeft w:val="0"/>
              <w:marRight w:val="0"/>
              <w:marTop w:val="0"/>
              <w:marBottom w:val="0"/>
              <w:divBdr>
                <w:top w:val="none" w:sz="0" w:space="0" w:color="auto"/>
                <w:left w:val="none" w:sz="0" w:space="0" w:color="auto"/>
                <w:bottom w:val="none" w:sz="0" w:space="0" w:color="auto"/>
                <w:right w:val="none" w:sz="0" w:space="0" w:color="auto"/>
              </w:divBdr>
              <w:divsChild>
                <w:div w:id="988830741">
                  <w:marLeft w:val="0"/>
                  <w:marRight w:val="0"/>
                  <w:marTop w:val="0"/>
                  <w:marBottom w:val="0"/>
                  <w:divBdr>
                    <w:top w:val="none" w:sz="0" w:space="0" w:color="auto"/>
                    <w:left w:val="none" w:sz="0" w:space="0" w:color="auto"/>
                    <w:bottom w:val="none" w:sz="0" w:space="0" w:color="auto"/>
                    <w:right w:val="none" w:sz="0" w:space="0" w:color="auto"/>
                  </w:divBdr>
                  <w:divsChild>
                    <w:div w:id="1597396696">
                      <w:marLeft w:val="0"/>
                      <w:marRight w:val="0"/>
                      <w:marTop w:val="0"/>
                      <w:marBottom w:val="0"/>
                      <w:divBdr>
                        <w:top w:val="none" w:sz="0" w:space="0" w:color="auto"/>
                        <w:left w:val="none" w:sz="0" w:space="0" w:color="auto"/>
                        <w:bottom w:val="none" w:sz="0" w:space="0" w:color="auto"/>
                        <w:right w:val="none" w:sz="0" w:space="0" w:color="auto"/>
                      </w:divBdr>
                      <w:divsChild>
                        <w:div w:id="204804320">
                          <w:marLeft w:val="0"/>
                          <w:marRight w:val="0"/>
                          <w:marTop w:val="0"/>
                          <w:marBottom w:val="0"/>
                          <w:divBdr>
                            <w:top w:val="none" w:sz="0" w:space="0" w:color="auto"/>
                            <w:left w:val="none" w:sz="0" w:space="0" w:color="auto"/>
                            <w:bottom w:val="none" w:sz="0" w:space="0" w:color="auto"/>
                            <w:right w:val="none" w:sz="0" w:space="0" w:color="auto"/>
                          </w:divBdr>
                          <w:divsChild>
                            <w:div w:id="1924802943">
                              <w:marLeft w:val="0"/>
                              <w:marRight w:val="0"/>
                              <w:marTop w:val="0"/>
                              <w:marBottom w:val="0"/>
                              <w:divBdr>
                                <w:top w:val="none" w:sz="0" w:space="0" w:color="auto"/>
                                <w:left w:val="none" w:sz="0" w:space="0" w:color="auto"/>
                                <w:bottom w:val="none" w:sz="0" w:space="0" w:color="auto"/>
                                <w:right w:val="none" w:sz="0" w:space="0" w:color="auto"/>
                              </w:divBdr>
                              <w:divsChild>
                                <w:div w:id="59598605">
                                  <w:marLeft w:val="0"/>
                                  <w:marRight w:val="0"/>
                                  <w:marTop w:val="0"/>
                                  <w:marBottom w:val="0"/>
                                  <w:divBdr>
                                    <w:top w:val="none" w:sz="0" w:space="0" w:color="auto"/>
                                    <w:left w:val="none" w:sz="0" w:space="0" w:color="auto"/>
                                    <w:bottom w:val="none" w:sz="0" w:space="0" w:color="auto"/>
                                    <w:right w:val="none" w:sz="0" w:space="0" w:color="auto"/>
                                  </w:divBdr>
                                  <w:divsChild>
                                    <w:div w:id="1749888700">
                                      <w:marLeft w:val="0"/>
                                      <w:marRight w:val="0"/>
                                      <w:marTop w:val="0"/>
                                      <w:marBottom w:val="0"/>
                                      <w:divBdr>
                                        <w:top w:val="none" w:sz="0" w:space="0" w:color="auto"/>
                                        <w:left w:val="none" w:sz="0" w:space="0" w:color="auto"/>
                                        <w:bottom w:val="none" w:sz="0" w:space="0" w:color="auto"/>
                                        <w:right w:val="none" w:sz="0" w:space="0" w:color="auto"/>
                                      </w:divBdr>
                                      <w:divsChild>
                                        <w:div w:id="2104107426">
                                          <w:marLeft w:val="0"/>
                                          <w:marRight w:val="0"/>
                                          <w:marTop w:val="0"/>
                                          <w:marBottom w:val="0"/>
                                          <w:divBdr>
                                            <w:top w:val="none" w:sz="0" w:space="0" w:color="auto"/>
                                            <w:left w:val="none" w:sz="0" w:space="0" w:color="auto"/>
                                            <w:bottom w:val="none" w:sz="0" w:space="0" w:color="auto"/>
                                            <w:right w:val="none" w:sz="0" w:space="0" w:color="auto"/>
                                          </w:divBdr>
                                          <w:divsChild>
                                            <w:div w:id="1443380271">
                                              <w:marLeft w:val="0"/>
                                              <w:marRight w:val="0"/>
                                              <w:marTop w:val="0"/>
                                              <w:marBottom w:val="0"/>
                                              <w:divBdr>
                                                <w:top w:val="none" w:sz="0" w:space="0" w:color="auto"/>
                                                <w:left w:val="none" w:sz="0" w:space="0" w:color="auto"/>
                                                <w:bottom w:val="none" w:sz="0" w:space="0" w:color="auto"/>
                                                <w:right w:val="none" w:sz="0" w:space="0" w:color="auto"/>
                                              </w:divBdr>
                                            </w:div>
                                            <w:div w:id="1997806927">
                                              <w:marLeft w:val="0"/>
                                              <w:marRight w:val="0"/>
                                              <w:marTop w:val="0"/>
                                              <w:marBottom w:val="0"/>
                                              <w:divBdr>
                                                <w:top w:val="none" w:sz="0" w:space="0" w:color="auto"/>
                                                <w:left w:val="none" w:sz="0" w:space="0" w:color="auto"/>
                                                <w:bottom w:val="none" w:sz="0" w:space="0" w:color="auto"/>
                                                <w:right w:val="none" w:sz="0" w:space="0" w:color="auto"/>
                                              </w:divBdr>
                                            </w:div>
                                            <w:div w:id="1777366669">
                                              <w:marLeft w:val="0"/>
                                              <w:marRight w:val="0"/>
                                              <w:marTop w:val="0"/>
                                              <w:marBottom w:val="0"/>
                                              <w:divBdr>
                                                <w:top w:val="none" w:sz="0" w:space="0" w:color="auto"/>
                                                <w:left w:val="none" w:sz="0" w:space="0" w:color="auto"/>
                                                <w:bottom w:val="none" w:sz="0" w:space="0" w:color="auto"/>
                                                <w:right w:val="none" w:sz="0" w:space="0" w:color="auto"/>
                                              </w:divBdr>
                                            </w:div>
                                            <w:div w:id="407463401">
                                              <w:marLeft w:val="0"/>
                                              <w:marRight w:val="0"/>
                                              <w:marTop w:val="0"/>
                                              <w:marBottom w:val="0"/>
                                              <w:divBdr>
                                                <w:top w:val="none" w:sz="0" w:space="0" w:color="auto"/>
                                                <w:left w:val="none" w:sz="0" w:space="0" w:color="auto"/>
                                                <w:bottom w:val="none" w:sz="0" w:space="0" w:color="auto"/>
                                                <w:right w:val="none" w:sz="0" w:space="0" w:color="auto"/>
                                              </w:divBdr>
                                            </w:div>
                                            <w:div w:id="820996893">
                                              <w:marLeft w:val="0"/>
                                              <w:marRight w:val="0"/>
                                              <w:marTop w:val="0"/>
                                              <w:marBottom w:val="0"/>
                                              <w:divBdr>
                                                <w:top w:val="none" w:sz="0" w:space="0" w:color="auto"/>
                                                <w:left w:val="none" w:sz="0" w:space="0" w:color="auto"/>
                                                <w:bottom w:val="none" w:sz="0" w:space="0" w:color="auto"/>
                                                <w:right w:val="none" w:sz="0" w:space="0" w:color="auto"/>
                                              </w:divBdr>
                                            </w:div>
                                            <w:div w:id="1479103713">
                                              <w:marLeft w:val="0"/>
                                              <w:marRight w:val="0"/>
                                              <w:marTop w:val="0"/>
                                              <w:marBottom w:val="0"/>
                                              <w:divBdr>
                                                <w:top w:val="none" w:sz="0" w:space="0" w:color="auto"/>
                                                <w:left w:val="none" w:sz="0" w:space="0" w:color="auto"/>
                                                <w:bottom w:val="none" w:sz="0" w:space="0" w:color="auto"/>
                                                <w:right w:val="none" w:sz="0" w:space="0" w:color="auto"/>
                                              </w:divBdr>
                                            </w:div>
                                            <w:div w:id="1739672534">
                                              <w:marLeft w:val="0"/>
                                              <w:marRight w:val="0"/>
                                              <w:marTop w:val="0"/>
                                              <w:marBottom w:val="0"/>
                                              <w:divBdr>
                                                <w:top w:val="none" w:sz="0" w:space="0" w:color="auto"/>
                                                <w:left w:val="none" w:sz="0" w:space="0" w:color="auto"/>
                                                <w:bottom w:val="none" w:sz="0" w:space="0" w:color="auto"/>
                                                <w:right w:val="none" w:sz="0" w:space="0" w:color="auto"/>
                                              </w:divBdr>
                                            </w:div>
                                            <w:div w:id="1969238276">
                                              <w:marLeft w:val="0"/>
                                              <w:marRight w:val="0"/>
                                              <w:marTop w:val="0"/>
                                              <w:marBottom w:val="0"/>
                                              <w:divBdr>
                                                <w:top w:val="none" w:sz="0" w:space="0" w:color="auto"/>
                                                <w:left w:val="none" w:sz="0" w:space="0" w:color="auto"/>
                                                <w:bottom w:val="none" w:sz="0" w:space="0" w:color="auto"/>
                                                <w:right w:val="none" w:sz="0" w:space="0" w:color="auto"/>
                                              </w:divBdr>
                                            </w:div>
                                            <w:div w:id="101000337">
                                              <w:marLeft w:val="0"/>
                                              <w:marRight w:val="0"/>
                                              <w:marTop w:val="0"/>
                                              <w:marBottom w:val="0"/>
                                              <w:divBdr>
                                                <w:top w:val="none" w:sz="0" w:space="0" w:color="auto"/>
                                                <w:left w:val="none" w:sz="0" w:space="0" w:color="auto"/>
                                                <w:bottom w:val="none" w:sz="0" w:space="0" w:color="auto"/>
                                                <w:right w:val="none" w:sz="0" w:space="0" w:color="auto"/>
                                              </w:divBdr>
                                            </w:div>
                                            <w:div w:id="1365793090">
                                              <w:marLeft w:val="0"/>
                                              <w:marRight w:val="0"/>
                                              <w:marTop w:val="0"/>
                                              <w:marBottom w:val="0"/>
                                              <w:divBdr>
                                                <w:top w:val="none" w:sz="0" w:space="0" w:color="auto"/>
                                                <w:left w:val="none" w:sz="0" w:space="0" w:color="auto"/>
                                                <w:bottom w:val="none" w:sz="0" w:space="0" w:color="auto"/>
                                                <w:right w:val="none" w:sz="0" w:space="0" w:color="auto"/>
                                              </w:divBdr>
                                            </w:div>
                                            <w:div w:id="1400782462">
                                              <w:marLeft w:val="0"/>
                                              <w:marRight w:val="0"/>
                                              <w:marTop w:val="0"/>
                                              <w:marBottom w:val="0"/>
                                              <w:divBdr>
                                                <w:top w:val="none" w:sz="0" w:space="0" w:color="auto"/>
                                                <w:left w:val="none" w:sz="0" w:space="0" w:color="auto"/>
                                                <w:bottom w:val="none" w:sz="0" w:space="0" w:color="auto"/>
                                                <w:right w:val="none" w:sz="0" w:space="0" w:color="auto"/>
                                              </w:divBdr>
                                            </w:div>
                                            <w:div w:id="1953124896">
                                              <w:marLeft w:val="0"/>
                                              <w:marRight w:val="0"/>
                                              <w:marTop w:val="0"/>
                                              <w:marBottom w:val="0"/>
                                              <w:divBdr>
                                                <w:top w:val="none" w:sz="0" w:space="0" w:color="auto"/>
                                                <w:left w:val="none" w:sz="0" w:space="0" w:color="auto"/>
                                                <w:bottom w:val="none" w:sz="0" w:space="0" w:color="auto"/>
                                                <w:right w:val="none" w:sz="0" w:space="0" w:color="auto"/>
                                              </w:divBdr>
                                            </w:div>
                                            <w:div w:id="896747201">
                                              <w:marLeft w:val="0"/>
                                              <w:marRight w:val="0"/>
                                              <w:marTop w:val="0"/>
                                              <w:marBottom w:val="0"/>
                                              <w:divBdr>
                                                <w:top w:val="none" w:sz="0" w:space="0" w:color="auto"/>
                                                <w:left w:val="none" w:sz="0" w:space="0" w:color="auto"/>
                                                <w:bottom w:val="none" w:sz="0" w:space="0" w:color="auto"/>
                                                <w:right w:val="none" w:sz="0" w:space="0" w:color="auto"/>
                                              </w:divBdr>
                                            </w:div>
                                            <w:div w:id="1698844556">
                                              <w:marLeft w:val="0"/>
                                              <w:marRight w:val="0"/>
                                              <w:marTop w:val="0"/>
                                              <w:marBottom w:val="0"/>
                                              <w:divBdr>
                                                <w:top w:val="none" w:sz="0" w:space="0" w:color="auto"/>
                                                <w:left w:val="none" w:sz="0" w:space="0" w:color="auto"/>
                                                <w:bottom w:val="none" w:sz="0" w:space="0" w:color="auto"/>
                                                <w:right w:val="none" w:sz="0" w:space="0" w:color="auto"/>
                                              </w:divBdr>
                                            </w:div>
                                            <w:div w:id="1511260768">
                                              <w:marLeft w:val="0"/>
                                              <w:marRight w:val="0"/>
                                              <w:marTop w:val="0"/>
                                              <w:marBottom w:val="0"/>
                                              <w:divBdr>
                                                <w:top w:val="none" w:sz="0" w:space="0" w:color="auto"/>
                                                <w:left w:val="none" w:sz="0" w:space="0" w:color="auto"/>
                                                <w:bottom w:val="none" w:sz="0" w:space="0" w:color="auto"/>
                                                <w:right w:val="none" w:sz="0" w:space="0" w:color="auto"/>
                                              </w:divBdr>
                                            </w:div>
                                            <w:div w:id="411465014">
                                              <w:marLeft w:val="0"/>
                                              <w:marRight w:val="0"/>
                                              <w:marTop w:val="0"/>
                                              <w:marBottom w:val="0"/>
                                              <w:divBdr>
                                                <w:top w:val="none" w:sz="0" w:space="0" w:color="auto"/>
                                                <w:left w:val="none" w:sz="0" w:space="0" w:color="auto"/>
                                                <w:bottom w:val="none" w:sz="0" w:space="0" w:color="auto"/>
                                                <w:right w:val="none" w:sz="0" w:space="0" w:color="auto"/>
                                              </w:divBdr>
                                            </w:div>
                                            <w:div w:id="13704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126</Words>
  <Characters>720</Characters>
  <Application>Microsoft Office Word</Application>
  <DocSecurity>0</DocSecurity>
  <Lines>6</Lines>
  <Paragraphs>1</Paragraphs>
  <ScaleCrop>false</ScaleCrop>
  <Company>SkyUN.Org</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7</cp:revision>
  <dcterms:created xsi:type="dcterms:W3CDTF">2018-12-11T04:18:00Z</dcterms:created>
  <dcterms:modified xsi:type="dcterms:W3CDTF">2018-12-11T04:51:00Z</dcterms:modified>
</cp:coreProperties>
</file>